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41" w:rsidRPr="009C1D79" w:rsidRDefault="00345941" w:rsidP="00345941">
      <w:pPr>
        <w:spacing w:after="0" w:line="240" w:lineRule="auto"/>
        <w:ind w:left="5670"/>
        <w:rPr>
          <w:rFonts w:ascii="Times New Roman" w:hAnsi="Times New Roman" w:cs="Times New Roman"/>
          <w:sz w:val="24"/>
          <w:szCs w:val="24"/>
        </w:rPr>
      </w:pPr>
      <w:r w:rsidRPr="009C1D79">
        <w:rPr>
          <w:rFonts w:ascii="Times New Roman" w:hAnsi="Times New Roman" w:cs="Times New Roman"/>
          <w:sz w:val="24"/>
          <w:szCs w:val="24"/>
        </w:rPr>
        <w:t xml:space="preserve">Приложение </w:t>
      </w:r>
      <w:r w:rsidR="003F60FC">
        <w:rPr>
          <w:rFonts w:ascii="Times New Roman" w:hAnsi="Times New Roman" w:cs="Times New Roman"/>
          <w:sz w:val="24"/>
          <w:szCs w:val="24"/>
        </w:rPr>
        <w:t>2</w:t>
      </w:r>
      <w:r w:rsidRPr="009C1D79">
        <w:rPr>
          <w:rFonts w:ascii="Times New Roman" w:hAnsi="Times New Roman" w:cs="Times New Roman"/>
          <w:sz w:val="24"/>
          <w:szCs w:val="24"/>
        </w:rPr>
        <w:t xml:space="preserve"> к постановлению </w:t>
      </w:r>
    </w:p>
    <w:p w:rsidR="00345941" w:rsidRPr="009C1D79" w:rsidRDefault="003F60FC" w:rsidP="00345941">
      <w:pPr>
        <w:spacing w:after="0" w:line="240" w:lineRule="auto"/>
        <w:ind w:left="5664"/>
        <w:rPr>
          <w:rFonts w:ascii="Times New Roman" w:hAnsi="Times New Roman" w:cs="Times New Roman"/>
          <w:b/>
          <w:sz w:val="24"/>
          <w:szCs w:val="24"/>
        </w:rPr>
      </w:pPr>
      <w:r>
        <w:rPr>
          <w:rFonts w:ascii="Times New Roman" w:hAnsi="Times New Roman" w:cs="Times New Roman"/>
          <w:sz w:val="24"/>
          <w:szCs w:val="24"/>
        </w:rPr>
        <w:t>Президиума  Ярославской городской</w:t>
      </w:r>
      <w:r w:rsidR="00345941" w:rsidRPr="009C1D79">
        <w:rPr>
          <w:rFonts w:ascii="Times New Roman" w:hAnsi="Times New Roman" w:cs="Times New Roman"/>
          <w:sz w:val="24"/>
          <w:szCs w:val="24"/>
        </w:rPr>
        <w:t xml:space="preserve"> организации Профсоюза</w:t>
      </w:r>
    </w:p>
    <w:p w:rsidR="00345941" w:rsidRPr="009C1D79" w:rsidRDefault="003F60FC" w:rsidP="00345941">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15 сентября</w:t>
      </w:r>
      <w:r w:rsidR="00345941" w:rsidRPr="009C1D79">
        <w:rPr>
          <w:rFonts w:ascii="Times New Roman" w:hAnsi="Times New Roman" w:cs="Times New Roman"/>
          <w:sz w:val="24"/>
          <w:szCs w:val="24"/>
        </w:rPr>
        <w:t xml:space="preserve"> 2021 г. № </w:t>
      </w:r>
      <w:r w:rsidR="007B7C76">
        <w:rPr>
          <w:rFonts w:ascii="Times New Roman" w:hAnsi="Times New Roman" w:cs="Times New Roman"/>
          <w:sz w:val="24"/>
          <w:szCs w:val="24"/>
        </w:rPr>
        <w:t>11- 1</w:t>
      </w:r>
    </w:p>
    <w:p w:rsidR="00345941" w:rsidRDefault="00345941" w:rsidP="006C78DB">
      <w:pPr>
        <w:pStyle w:val="1"/>
        <w:spacing w:before="0" w:after="0" w:line="240" w:lineRule="auto"/>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F420CC" w:rsidRDefault="00345941" w:rsidP="00345941">
      <w:pPr>
        <w:spacing w:after="0" w:line="240" w:lineRule="auto"/>
        <w:jc w:val="center"/>
        <w:rPr>
          <w:rFonts w:ascii="Times New Roman" w:hAnsi="Times New Roman" w:cs="Times New Roman"/>
          <w:b/>
          <w:sz w:val="26"/>
          <w:szCs w:val="26"/>
        </w:rPr>
      </w:pPr>
      <w:r w:rsidRPr="00F420CC">
        <w:rPr>
          <w:rFonts w:ascii="Times New Roman" w:hAnsi="Times New Roman" w:cs="Times New Roman"/>
          <w:b/>
          <w:sz w:val="26"/>
          <w:szCs w:val="26"/>
        </w:rPr>
        <w:t>профсоюзного комитета первичной организации</w:t>
      </w:r>
    </w:p>
    <w:p w:rsidR="00345941" w:rsidRPr="00F420CC" w:rsidRDefault="00345941" w:rsidP="00345941">
      <w:pPr>
        <w:spacing w:after="0" w:line="240" w:lineRule="auto"/>
        <w:jc w:val="center"/>
        <w:rPr>
          <w:rFonts w:ascii="Times New Roman" w:hAnsi="Times New Roman" w:cs="Times New Roman"/>
          <w:b/>
          <w:sz w:val="26"/>
          <w:szCs w:val="26"/>
        </w:rPr>
      </w:pPr>
      <w:r w:rsidRPr="00F420CC">
        <w:rPr>
          <w:rFonts w:ascii="Times New Roman" w:hAnsi="Times New Roman" w:cs="Times New Roman"/>
          <w:b/>
          <w:sz w:val="26"/>
          <w:szCs w:val="26"/>
        </w:rPr>
        <w:t xml:space="preserve"> Профессионального союза работников народного образования </w:t>
      </w:r>
    </w:p>
    <w:p w:rsidR="006C78DB" w:rsidRPr="00F420CC" w:rsidRDefault="00345941" w:rsidP="006C78DB">
      <w:pPr>
        <w:spacing w:after="0" w:line="240" w:lineRule="auto"/>
        <w:jc w:val="center"/>
        <w:rPr>
          <w:rFonts w:ascii="Times New Roman" w:hAnsi="Times New Roman" w:cs="Times New Roman"/>
          <w:b/>
          <w:sz w:val="26"/>
          <w:szCs w:val="26"/>
        </w:rPr>
      </w:pPr>
      <w:r w:rsidRPr="00F420CC">
        <w:rPr>
          <w:rFonts w:ascii="Times New Roman" w:hAnsi="Times New Roman" w:cs="Times New Roman"/>
          <w:b/>
          <w:sz w:val="26"/>
          <w:szCs w:val="26"/>
        </w:rPr>
        <w:t>и на</w:t>
      </w:r>
      <w:r w:rsidR="00DE1E06" w:rsidRPr="00F420CC">
        <w:rPr>
          <w:rFonts w:ascii="Times New Roman" w:hAnsi="Times New Roman" w:cs="Times New Roman"/>
          <w:b/>
          <w:sz w:val="26"/>
          <w:szCs w:val="26"/>
        </w:rPr>
        <w:t xml:space="preserve">уки Российской Федерации </w:t>
      </w:r>
    </w:p>
    <w:p w:rsidR="00F420CC" w:rsidRPr="00F420CC" w:rsidRDefault="001C0E5A" w:rsidP="006C78D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МДОУ «Детский сад № 98</w:t>
      </w:r>
      <w:r w:rsidR="00F420CC" w:rsidRPr="00F420CC">
        <w:rPr>
          <w:rFonts w:ascii="Times New Roman" w:hAnsi="Times New Roman" w:cs="Times New Roman"/>
          <w:b/>
          <w:sz w:val="26"/>
          <w:szCs w:val="26"/>
        </w:rPr>
        <w:t>»</w:t>
      </w:r>
    </w:p>
    <w:p w:rsidR="00F420CC" w:rsidRPr="00F420CC" w:rsidRDefault="00F420CC" w:rsidP="006C78DB">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091D0C">
        <w:rPr>
          <w:rFonts w:ascii="Times New Roman" w:hAnsi="Times New Roman" w:cs="Times New Roman"/>
          <w:sz w:val="24"/>
          <w:szCs w:val="24"/>
        </w:rPr>
        <w:t xml:space="preserve"> (наименование ОО)</w:t>
      </w:r>
      <w:r w:rsidRPr="009C1D79">
        <w:rPr>
          <w:rFonts w:ascii="Times New Roman" w:hAnsi="Times New Roman" w:cs="Times New Roman"/>
          <w:sz w:val="24"/>
          <w:szCs w:val="24"/>
        </w:rPr>
        <w:t xml:space="preserve"> по реализации своих полномочий, определенных Уставом Профсоюза.</w:t>
      </w:r>
    </w:p>
    <w:p w:rsidR="00345941" w:rsidRPr="006C78DB" w:rsidRDefault="00345941" w:rsidP="006C78DB">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соответствии с пунктом 1 статьи 23 Устава Профсоюз</w:t>
      </w:r>
      <w:r w:rsidR="000A5E97">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Pr="00BB3C93"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BB3C93" w:rsidRPr="00F420CC" w:rsidRDefault="00BB3C93" w:rsidP="00BB3C93">
      <w:pPr>
        <w:tabs>
          <w:tab w:val="left" w:pos="993"/>
          <w:tab w:val="left" w:pos="1134"/>
        </w:tabs>
        <w:spacing w:after="0" w:line="240" w:lineRule="auto"/>
        <w:jc w:val="both"/>
        <w:rPr>
          <w:rFonts w:ascii="Times New Roman" w:hAnsi="Times New Roman" w:cs="Times New Roman"/>
          <w:sz w:val="24"/>
          <w:szCs w:val="24"/>
        </w:rPr>
      </w:pP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lastRenderedPageBreak/>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6C78DB"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w:t>
      </w:r>
      <w:r w:rsidRPr="009C1D79">
        <w:rPr>
          <w:rFonts w:ascii="Times New Roman" w:hAnsi="Times New Roman" w:cs="Times New Roman"/>
          <w:sz w:val="24"/>
          <w:szCs w:val="24"/>
        </w:rPr>
        <w:lastRenderedPageBreak/>
        <w:t xml:space="preserve">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досрочного прекращения полномочий</w:t>
      </w:r>
      <w:r w:rsidRPr="009C1D79">
        <w:rPr>
          <w:rFonts w:ascii="Times New Roman" w:hAnsi="Times New Roman" w:cs="Times New Roman"/>
          <w:sz w:val="24"/>
          <w:szCs w:val="24"/>
        </w:rPr>
        <w:t>председателя первичной организации Профсоюзадо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bookmarkStart w:id="0" w:name="_GoBack"/>
      <w:bookmarkEnd w:id="0"/>
      <w:r w:rsidR="00C34D0A">
        <w:rPr>
          <w:rFonts w:ascii="Times New Roman" w:hAnsi="Times New Roman" w:cs="Times New Roman"/>
          <w:bCs/>
          <w:sz w:val="24"/>
          <w:szCs w:val="24"/>
        </w:rPr>
        <w:t>либо один из членов Комитета</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BB3C93"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 xml:space="preserve">Непосредственный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BB3C93" w:rsidRPr="006C78DB" w:rsidRDefault="00BB3C93" w:rsidP="00BB3C93">
      <w:pPr>
        <w:spacing w:after="0" w:line="240" w:lineRule="auto"/>
        <w:jc w:val="both"/>
        <w:rPr>
          <w:rFonts w:ascii="Times New Roman" w:hAnsi="Times New Roman" w:cs="Times New Roman"/>
          <w:sz w:val="24"/>
          <w:szCs w:val="24"/>
        </w:rPr>
      </w:pP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p>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941"/>
    <w:rsid w:val="00091D0C"/>
    <w:rsid w:val="000A5E97"/>
    <w:rsid w:val="00143D12"/>
    <w:rsid w:val="001C0E5A"/>
    <w:rsid w:val="00215009"/>
    <w:rsid w:val="00274F23"/>
    <w:rsid w:val="00345941"/>
    <w:rsid w:val="003F60FC"/>
    <w:rsid w:val="004B22FB"/>
    <w:rsid w:val="00507EED"/>
    <w:rsid w:val="00520F1C"/>
    <w:rsid w:val="005E62B2"/>
    <w:rsid w:val="006209A9"/>
    <w:rsid w:val="006C78DB"/>
    <w:rsid w:val="007B7C76"/>
    <w:rsid w:val="007E024C"/>
    <w:rsid w:val="00867258"/>
    <w:rsid w:val="00917545"/>
    <w:rsid w:val="00A8593F"/>
    <w:rsid w:val="00B15D6A"/>
    <w:rsid w:val="00BA3331"/>
    <w:rsid w:val="00BB3C93"/>
    <w:rsid w:val="00C34D0A"/>
    <w:rsid w:val="00CA03CA"/>
    <w:rsid w:val="00CE51B7"/>
    <w:rsid w:val="00D60275"/>
    <w:rsid w:val="00D764CF"/>
    <w:rsid w:val="00D801BE"/>
    <w:rsid w:val="00DE1E06"/>
    <w:rsid w:val="00F1510A"/>
    <w:rsid w:val="00F420CC"/>
    <w:rsid w:val="00F446A8"/>
    <w:rsid w:val="00F6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obrprof</dc:creator>
  <cp:keywords/>
  <dc:description/>
  <cp:lastModifiedBy>пк</cp:lastModifiedBy>
  <cp:revision>40</cp:revision>
  <cp:lastPrinted>2021-09-14T07:51:00Z</cp:lastPrinted>
  <dcterms:created xsi:type="dcterms:W3CDTF">2021-09-12T16:06:00Z</dcterms:created>
  <dcterms:modified xsi:type="dcterms:W3CDTF">2023-07-25T12:10:00Z</dcterms:modified>
</cp:coreProperties>
</file>